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9C9" w:rsidRPr="008B7405" w:rsidRDefault="001A29C9" w:rsidP="001C46CC">
      <w:pPr>
        <w:widowControl/>
        <w:adjustRightInd w:val="0"/>
        <w:snapToGrid w:val="0"/>
        <w:spacing w:line="360" w:lineRule="auto"/>
        <w:jc w:val="both"/>
        <w:rPr>
          <w:rFonts w:asciiTheme="minorEastAsia" w:eastAsiaTheme="minorEastAsia" w:hAnsiTheme="minorEastAsia"/>
          <w:color w:val="000000"/>
          <w:kern w:val="0"/>
          <w:szCs w:val="24"/>
        </w:rPr>
      </w:pPr>
      <w:bookmarkStart w:id="0" w:name="_GoBack"/>
      <w:bookmarkEnd w:id="0"/>
      <w:r w:rsidRPr="008B7405">
        <w:rPr>
          <w:rFonts w:asciiTheme="minorEastAsia" w:eastAsiaTheme="minorEastAsia" w:hAnsiTheme="minorEastAsia"/>
          <w:noProof/>
          <w:color w:val="000000"/>
          <w:kern w:val="0"/>
          <w:szCs w:val="24"/>
        </w:rPr>
        <w:drawing>
          <wp:inline distT="0" distB="0" distL="0" distR="0">
            <wp:extent cx="1587500" cy="2031657"/>
            <wp:effectExtent l="0" t="0" r="0" b="6985"/>
            <wp:docPr id="2" name="圖片 2" descr="C:\Users\Steve Yang\Desktop\SteveHome\相簿\Steve_TKU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 Yang\Desktop\SteveHome\相簿\Steve_TKU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420" cy="2039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9C9" w:rsidRPr="008B7405" w:rsidRDefault="001A29C9" w:rsidP="001C46CC">
      <w:pPr>
        <w:widowControl/>
        <w:adjustRightInd w:val="0"/>
        <w:snapToGrid w:val="0"/>
        <w:spacing w:line="360" w:lineRule="auto"/>
        <w:jc w:val="both"/>
        <w:rPr>
          <w:rFonts w:asciiTheme="minorEastAsia" w:eastAsiaTheme="minorEastAsia" w:hAnsiTheme="minorEastAsia"/>
          <w:color w:val="000000"/>
          <w:kern w:val="0"/>
          <w:szCs w:val="24"/>
        </w:rPr>
      </w:pPr>
    </w:p>
    <w:p w:rsidR="00B94056" w:rsidRDefault="00B94056" w:rsidP="00B94056">
      <w:pPr>
        <w:widowControl/>
        <w:adjustRightInd w:val="0"/>
        <w:snapToGrid w:val="0"/>
        <w:spacing w:line="360" w:lineRule="auto"/>
        <w:jc w:val="both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楊鎮華教授現任國立中央大學資訊</w:t>
      </w:r>
      <w:proofErr w:type="gramStart"/>
      <w:r>
        <w:rPr>
          <w:rFonts w:eastAsia="標楷體" w:hint="eastAsia"/>
          <w:color w:val="000000"/>
          <w:kern w:val="0"/>
        </w:rPr>
        <w:t>工程學系特聘</w:t>
      </w:r>
      <w:proofErr w:type="gramEnd"/>
      <w:r>
        <w:rPr>
          <w:rFonts w:eastAsia="標楷體" w:hint="eastAsia"/>
          <w:color w:val="000000"/>
          <w:kern w:val="0"/>
        </w:rPr>
        <w:t>教授兼學習科技研究中心主任與校務研究辦公室主任。楊教授為教育部資訊及科技教育司首任司長</w:t>
      </w:r>
      <w:r>
        <w:rPr>
          <w:rFonts w:eastAsia="標楷體"/>
          <w:color w:val="000000"/>
          <w:kern w:val="0"/>
        </w:rPr>
        <w:t>(2013~2014)</w:t>
      </w:r>
      <w:r>
        <w:rPr>
          <w:rFonts w:eastAsia="標楷體" w:hint="eastAsia"/>
          <w:color w:val="000000"/>
          <w:kern w:val="0"/>
        </w:rPr>
        <w:t>，歷任國科會</w:t>
      </w:r>
      <w:r>
        <w:rPr>
          <w:rFonts w:eastAsia="標楷體"/>
          <w:color w:val="000000"/>
          <w:kern w:val="0"/>
        </w:rPr>
        <w:t>(</w:t>
      </w:r>
      <w:r>
        <w:rPr>
          <w:rFonts w:eastAsia="標楷體" w:hint="eastAsia"/>
          <w:color w:val="000000"/>
          <w:kern w:val="0"/>
        </w:rPr>
        <w:t>現科技部</w:t>
      </w:r>
      <w:r>
        <w:rPr>
          <w:rFonts w:eastAsia="標楷體"/>
          <w:color w:val="000000"/>
          <w:kern w:val="0"/>
        </w:rPr>
        <w:t>)</w:t>
      </w:r>
      <w:r>
        <w:rPr>
          <w:rFonts w:eastAsia="標楷體" w:hint="eastAsia"/>
          <w:color w:val="000000"/>
          <w:kern w:val="0"/>
        </w:rPr>
        <w:t>資訊教育學門召集人、國立中央大學副教務長、總教學中心主任、電子計算機中心主任，並於</w:t>
      </w:r>
      <w:r>
        <w:rPr>
          <w:rFonts w:eastAsia="標楷體"/>
          <w:color w:val="000000"/>
          <w:kern w:val="0"/>
        </w:rPr>
        <w:t>2010</w:t>
      </w:r>
      <w:r>
        <w:rPr>
          <w:rFonts w:eastAsia="標楷體" w:hint="eastAsia"/>
          <w:color w:val="000000"/>
          <w:kern w:val="0"/>
        </w:rPr>
        <w:t>年榮獲國科會</w:t>
      </w:r>
      <w:r>
        <w:rPr>
          <w:rFonts w:eastAsia="標楷體"/>
          <w:color w:val="000000"/>
          <w:kern w:val="0"/>
        </w:rPr>
        <w:t>(</w:t>
      </w:r>
      <w:r>
        <w:rPr>
          <w:rFonts w:eastAsia="標楷體" w:hint="eastAsia"/>
          <w:color w:val="000000"/>
          <w:kern w:val="0"/>
        </w:rPr>
        <w:t>現科技部</w:t>
      </w:r>
      <w:r>
        <w:rPr>
          <w:rFonts w:eastAsia="標楷體"/>
          <w:color w:val="000000"/>
          <w:kern w:val="0"/>
        </w:rPr>
        <w:t>)</w:t>
      </w:r>
      <w:r>
        <w:rPr>
          <w:rFonts w:eastAsia="標楷體" w:hint="eastAsia"/>
          <w:color w:val="000000"/>
          <w:kern w:val="0"/>
        </w:rPr>
        <w:t>傑出研究獎、以及於</w:t>
      </w:r>
      <w:r>
        <w:rPr>
          <w:rFonts w:eastAsia="標楷體"/>
          <w:color w:val="000000"/>
          <w:kern w:val="0"/>
        </w:rPr>
        <w:t>2015</w:t>
      </w:r>
      <w:r>
        <w:rPr>
          <w:rFonts w:eastAsia="標楷體" w:hint="eastAsia"/>
          <w:color w:val="000000"/>
          <w:kern w:val="0"/>
        </w:rPr>
        <w:t>年榮獲教育部教育專業獎章。</w:t>
      </w:r>
    </w:p>
    <w:p w:rsidR="00B94056" w:rsidRDefault="00B94056" w:rsidP="00B94056">
      <w:pPr>
        <w:widowControl/>
        <w:adjustRightInd w:val="0"/>
        <w:snapToGrid w:val="0"/>
        <w:spacing w:line="360" w:lineRule="auto"/>
        <w:jc w:val="both"/>
        <w:rPr>
          <w:rFonts w:eastAsia="標楷體"/>
          <w:color w:val="000000"/>
          <w:kern w:val="0"/>
        </w:rPr>
      </w:pPr>
    </w:p>
    <w:p w:rsidR="00B94056" w:rsidRDefault="00B94056" w:rsidP="00B94056">
      <w:pPr>
        <w:widowControl/>
        <w:adjustRightInd w:val="0"/>
        <w:snapToGrid w:val="0"/>
        <w:spacing w:line="360" w:lineRule="auto"/>
        <w:jc w:val="both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楊教授</w:t>
      </w:r>
      <w:r>
        <w:rPr>
          <w:rFonts w:eastAsia="標楷體"/>
          <w:color w:val="000000"/>
          <w:kern w:val="0"/>
        </w:rPr>
        <w:t>1995</w:t>
      </w:r>
      <w:r>
        <w:rPr>
          <w:rFonts w:eastAsia="標楷體" w:hint="eastAsia"/>
          <w:color w:val="000000"/>
          <w:kern w:val="0"/>
        </w:rPr>
        <w:t>年畢業於美國伊利諾大學芝加哥校區資訊工程博士，研究專長包括教育雲、大數據、學習分析、</w:t>
      </w:r>
      <w:proofErr w:type="gramStart"/>
      <w:r>
        <w:rPr>
          <w:rFonts w:eastAsia="標楷體" w:hint="eastAsia"/>
          <w:color w:val="000000"/>
          <w:kern w:val="0"/>
        </w:rPr>
        <w:t>磨課師</w:t>
      </w:r>
      <w:proofErr w:type="gramEnd"/>
      <w:r>
        <w:rPr>
          <w:rFonts w:eastAsia="標楷體" w:hint="eastAsia"/>
          <w:color w:val="000000"/>
          <w:kern w:val="0"/>
        </w:rPr>
        <w:t>。至今已發表超過</w:t>
      </w:r>
      <w:r>
        <w:rPr>
          <w:rFonts w:eastAsia="標楷體"/>
          <w:color w:val="000000"/>
          <w:kern w:val="0"/>
        </w:rPr>
        <w:t>70</w:t>
      </w:r>
      <w:r>
        <w:rPr>
          <w:rFonts w:eastAsia="標楷體" w:hint="eastAsia"/>
          <w:color w:val="000000"/>
          <w:kern w:val="0"/>
        </w:rPr>
        <w:t>篇</w:t>
      </w:r>
      <w:r>
        <w:rPr>
          <w:rFonts w:eastAsia="標楷體"/>
          <w:color w:val="000000"/>
          <w:kern w:val="0"/>
        </w:rPr>
        <w:t>SSCI</w:t>
      </w:r>
      <w:r>
        <w:rPr>
          <w:rFonts w:eastAsia="標楷體" w:hint="eastAsia"/>
          <w:color w:val="000000"/>
          <w:kern w:val="0"/>
        </w:rPr>
        <w:t>、</w:t>
      </w:r>
      <w:r>
        <w:rPr>
          <w:rFonts w:eastAsia="標楷體"/>
          <w:color w:val="000000"/>
          <w:kern w:val="0"/>
        </w:rPr>
        <w:t>SCI</w:t>
      </w:r>
      <w:r>
        <w:rPr>
          <w:rFonts w:eastAsia="標楷體" w:hint="eastAsia"/>
          <w:color w:val="000000"/>
          <w:kern w:val="0"/>
        </w:rPr>
        <w:t>學術期刊論文。楊教授在</w:t>
      </w:r>
      <w:r>
        <w:rPr>
          <w:rFonts w:eastAsia="標楷體"/>
          <w:color w:val="000000"/>
          <w:kern w:val="0"/>
        </w:rPr>
        <w:t>Google Scholar</w:t>
      </w:r>
      <w:r>
        <w:rPr>
          <w:rFonts w:eastAsia="標楷體" w:hint="eastAsia"/>
          <w:color w:val="000000"/>
          <w:kern w:val="0"/>
        </w:rPr>
        <w:t>的</w:t>
      </w:r>
      <w:r>
        <w:rPr>
          <w:rFonts w:eastAsia="標楷體"/>
          <w:color w:val="000000"/>
          <w:kern w:val="0"/>
        </w:rPr>
        <w:t>Citation indices</w:t>
      </w:r>
      <w:r>
        <w:rPr>
          <w:rFonts w:eastAsia="標楷體" w:hint="eastAsia"/>
          <w:color w:val="000000"/>
          <w:kern w:val="0"/>
        </w:rPr>
        <w:t>超過</w:t>
      </w:r>
      <w:r>
        <w:rPr>
          <w:rFonts w:eastAsia="標楷體"/>
          <w:color w:val="000000"/>
          <w:kern w:val="0"/>
        </w:rPr>
        <w:t>8,500</w:t>
      </w:r>
      <w:r>
        <w:rPr>
          <w:rFonts w:eastAsia="標楷體" w:hint="eastAsia"/>
          <w:color w:val="000000"/>
          <w:kern w:val="0"/>
        </w:rPr>
        <w:t>次，特別是在主要研究領域</w:t>
      </w:r>
      <w:r>
        <w:rPr>
          <w:rFonts w:eastAsia="標楷體"/>
          <w:color w:val="000000"/>
          <w:kern w:val="0"/>
        </w:rPr>
        <w:t>Education data mining</w:t>
      </w:r>
      <w:r>
        <w:rPr>
          <w:rFonts w:eastAsia="標楷體" w:hint="eastAsia"/>
          <w:color w:val="000000"/>
          <w:kern w:val="0"/>
        </w:rPr>
        <w:t>的</w:t>
      </w:r>
      <w:r>
        <w:rPr>
          <w:rFonts w:eastAsia="標楷體"/>
          <w:color w:val="000000"/>
          <w:kern w:val="0"/>
        </w:rPr>
        <w:t>citation</w:t>
      </w:r>
      <w:r>
        <w:rPr>
          <w:rFonts w:eastAsia="標楷體" w:hint="eastAsia"/>
          <w:color w:val="000000"/>
          <w:kern w:val="0"/>
        </w:rPr>
        <w:t>次數居世界排名第二，</w:t>
      </w:r>
      <w:r>
        <w:rPr>
          <w:rFonts w:eastAsia="標楷體"/>
          <w:color w:val="000000"/>
          <w:kern w:val="0"/>
        </w:rPr>
        <w:t>Learning analytics</w:t>
      </w:r>
      <w:r>
        <w:rPr>
          <w:rFonts w:eastAsia="標楷體" w:hint="eastAsia"/>
          <w:color w:val="000000"/>
          <w:kern w:val="0"/>
        </w:rPr>
        <w:t>的</w:t>
      </w:r>
      <w:r>
        <w:rPr>
          <w:rFonts w:eastAsia="標楷體"/>
          <w:color w:val="000000"/>
          <w:kern w:val="0"/>
        </w:rPr>
        <w:t xml:space="preserve">citation </w:t>
      </w:r>
      <w:r>
        <w:rPr>
          <w:rFonts w:eastAsia="標楷體" w:hint="eastAsia"/>
          <w:color w:val="000000"/>
          <w:kern w:val="0"/>
        </w:rPr>
        <w:t>次數居世界排名第六。</w:t>
      </w:r>
    </w:p>
    <w:p w:rsidR="00B94056" w:rsidRDefault="00B94056" w:rsidP="00B94056">
      <w:pPr>
        <w:autoSpaceDE w:val="0"/>
        <w:autoSpaceDN w:val="0"/>
        <w:adjustRightInd w:val="0"/>
        <w:snapToGrid w:val="0"/>
        <w:spacing w:line="360" w:lineRule="auto"/>
        <w:jc w:val="both"/>
        <w:rPr>
          <w:rFonts w:eastAsia="標楷體"/>
          <w:color w:val="000000"/>
          <w:kern w:val="0"/>
        </w:rPr>
      </w:pPr>
    </w:p>
    <w:p w:rsidR="00B94056" w:rsidRDefault="00B94056" w:rsidP="00B94056">
      <w:pPr>
        <w:autoSpaceDE w:val="0"/>
        <w:autoSpaceDN w:val="0"/>
        <w:adjustRightInd w:val="0"/>
        <w:snapToGrid w:val="0"/>
        <w:spacing w:line="360" w:lineRule="auto"/>
        <w:jc w:val="both"/>
        <w:rPr>
          <w:rFonts w:eastAsia="標楷體"/>
          <w:kern w:val="0"/>
          <w:szCs w:val="24"/>
        </w:rPr>
      </w:pPr>
      <w:r>
        <w:rPr>
          <w:rFonts w:eastAsia="標楷體" w:hint="eastAsia"/>
          <w:color w:val="000000"/>
          <w:kern w:val="0"/>
        </w:rPr>
        <w:t>楊教授</w:t>
      </w:r>
      <w:r>
        <w:rPr>
          <w:rFonts w:eastAsia="標楷體" w:hint="eastAsia"/>
          <w:kern w:val="0"/>
          <w:szCs w:val="24"/>
        </w:rPr>
        <w:t>致力於引導新的大數據研究領域，特別是教育領域下的大數據研究。在</w:t>
      </w:r>
      <w:r>
        <w:rPr>
          <w:rFonts w:eastAsia="標楷體"/>
          <w:kern w:val="0"/>
          <w:szCs w:val="24"/>
        </w:rPr>
        <w:t>2016</w:t>
      </w:r>
      <w:r>
        <w:rPr>
          <w:rFonts w:eastAsia="標楷體" w:hint="eastAsia"/>
          <w:kern w:val="0"/>
          <w:szCs w:val="24"/>
        </w:rPr>
        <w:t>年於科技部資訊教育學門下成立了「教育大數據」特別興趣小組</w:t>
      </w:r>
      <w:r>
        <w:rPr>
          <w:rFonts w:eastAsia="標楷體"/>
          <w:kern w:val="0"/>
          <w:szCs w:val="24"/>
        </w:rPr>
        <w:t>(SIG)</w:t>
      </w:r>
      <w:r>
        <w:rPr>
          <w:rFonts w:eastAsia="標楷體" w:hint="eastAsia"/>
          <w:kern w:val="0"/>
          <w:szCs w:val="24"/>
        </w:rPr>
        <w:t>。</w:t>
      </w:r>
      <w:r>
        <w:rPr>
          <w:rFonts w:eastAsia="標楷體" w:hint="eastAsia"/>
          <w:color w:val="000000"/>
          <w:kern w:val="0"/>
        </w:rPr>
        <w:t>楊教授透過實體研究社群與虛擬網路社群，搭配專題演講，持續發揮</w:t>
      </w:r>
      <w:r>
        <w:rPr>
          <w:rFonts w:eastAsia="標楷體" w:hint="eastAsia"/>
          <w:kern w:val="0"/>
          <w:szCs w:val="24"/>
        </w:rPr>
        <w:t>「教育大數據」</w:t>
      </w:r>
      <w:r>
        <w:rPr>
          <w:rFonts w:eastAsia="標楷體" w:hint="eastAsia"/>
          <w:color w:val="000000"/>
          <w:kern w:val="0"/>
        </w:rPr>
        <w:t>之教育與社會影響力。楊教授</w:t>
      </w:r>
      <w:r>
        <w:rPr>
          <w:rFonts w:eastAsia="標楷體" w:hint="eastAsia"/>
          <w:kern w:val="0"/>
          <w:szCs w:val="24"/>
        </w:rPr>
        <w:t>的臉書社群參與人數已經超過一萬人，</w:t>
      </w:r>
      <w:r>
        <w:rPr>
          <w:rFonts w:eastAsia="標楷體"/>
          <w:kern w:val="0"/>
          <w:szCs w:val="24"/>
        </w:rPr>
        <w:t>2015</w:t>
      </w:r>
      <w:r>
        <w:rPr>
          <w:rFonts w:eastAsia="標楷體" w:hint="eastAsia"/>
          <w:kern w:val="0"/>
          <w:szCs w:val="24"/>
        </w:rPr>
        <w:t>的專題演講場次達到</w:t>
      </w:r>
      <w:r>
        <w:rPr>
          <w:rFonts w:eastAsia="標楷體"/>
          <w:kern w:val="0"/>
          <w:szCs w:val="24"/>
        </w:rPr>
        <w:t>39</w:t>
      </w:r>
      <w:r>
        <w:rPr>
          <w:rFonts w:eastAsia="標楷體" w:hint="eastAsia"/>
          <w:kern w:val="0"/>
          <w:szCs w:val="24"/>
        </w:rPr>
        <w:t>場，最遠曾造訪金門、馬祖，</w:t>
      </w:r>
      <w:r>
        <w:rPr>
          <w:rFonts w:eastAsia="標楷體"/>
          <w:kern w:val="0"/>
          <w:szCs w:val="24"/>
        </w:rPr>
        <w:t>2016</w:t>
      </w:r>
      <w:r>
        <w:rPr>
          <w:rFonts w:eastAsia="標楷體" w:hint="eastAsia"/>
          <w:kern w:val="0"/>
          <w:szCs w:val="24"/>
        </w:rPr>
        <w:t>年的演講場次也達到</w:t>
      </w:r>
      <w:r>
        <w:rPr>
          <w:rFonts w:eastAsia="標楷體"/>
          <w:kern w:val="0"/>
          <w:szCs w:val="24"/>
        </w:rPr>
        <w:t>36</w:t>
      </w:r>
      <w:r>
        <w:rPr>
          <w:rFonts w:eastAsia="標楷體" w:hint="eastAsia"/>
          <w:kern w:val="0"/>
          <w:szCs w:val="24"/>
        </w:rPr>
        <w:t>場，預計</w:t>
      </w:r>
      <w:r>
        <w:rPr>
          <w:rFonts w:eastAsia="標楷體"/>
          <w:kern w:val="0"/>
          <w:szCs w:val="24"/>
        </w:rPr>
        <w:t>2017</w:t>
      </w:r>
      <w:r>
        <w:rPr>
          <w:rFonts w:eastAsia="標楷體" w:hint="eastAsia"/>
          <w:kern w:val="0"/>
          <w:szCs w:val="24"/>
        </w:rPr>
        <w:t>仍會有超過</w:t>
      </w:r>
      <w:r>
        <w:rPr>
          <w:rFonts w:eastAsia="標楷體"/>
          <w:kern w:val="0"/>
          <w:szCs w:val="24"/>
        </w:rPr>
        <w:t>30</w:t>
      </w:r>
      <w:r>
        <w:rPr>
          <w:rFonts w:eastAsia="標楷體" w:hint="eastAsia"/>
          <w:kern w:val="0"/>
          <w:szCs w:val="24"/>
        </w:rPr>
        <w:t>場的演講。</w:t>
      </w:r>
    </w:p>
    <w:p w:rsidR="00B94056" w:rsidRDefault="00B94056" w:rsidP="00B94056">
      <w:pPr>
        <w:widowControl/>
        <w:adjustRightInd w:val="0"/>
        <w:snapToGrid w:val="0"/>
        <w:spacing w:line="360" w:lineRule="auto"/>
        <w:jc w:val="both"/>
        <w:rPr>
          <w:rFonts w:eastAsia="標楷體"/>
          <w:color w:val="000000"/>
          <w:kern w:val="0"/>
        </w:rPr>
      </w:pPr>
    </w:p>
    <w:p w:rsidR="00B94056" w:rsidRDefault="00B94056" w:rsidP="00B94056">
      <w:pPr>
        <w:adjustRightInd w:val="0"/>
        <w:snapToGrid w:val="0"/>
        <w:spacing w:line="360" w:lineRule="auto"/>
        <w:ind w:rightChars="86" w:right="206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楊教授在教育部司長任內</w:t>
      </w:r>
      <w:r>
        <w:rPr>
          <w:rFonts w:eastAsia="標楷體"/>
          <w:color w:val="000000"/>
          <w:kern w:val="0"/>
        </w:rPr>
        <w:t>(2013~2014)</w:t>
      </w:r>
      <w:r>
        <w:rPr>
          <w:rFonts w:eastAsia="標楷體" w:hint="eastAsia"/>
          <w:szCs w:val="24"/>
        </w:rPr>
        <w:t>，致力推動國家資訊教育及科技教育，規劃並啟動全國性的數位學習計畫，包括「數位基礎建設」、「教育雲端資源」及「創新學習模式」，提供全國</w:t>
      </w:r>
      <w:r>
        <w:rPr>
          <w:rFonts w:eastAsia="標楷體"/>
          <w:szCs w:val="24"/>
        </w:rPr>
        <w:t>450</w:t>
      </w:r>
      <w:r>
        <w:rPr>
          <w:rFonts w:eastAsia="標楷體" w:hint="eastAsia"/>
          <w:szCs w:val="24"/>
        </w:rPr>
        <w:t>萬師生</w:t>
      </w:r>
      <w:r>
        <w:rPr>
          <w:rFonts w:eastAsia="標楷體"/>
          <w:szCs w:val="24"/>
        </w:rPr>
        <w:t>100G</w:t>
      </w:r>
      <w:r>
        <w:rPr>
          <w:rFonts w:eastAsia="標楷體" w:hint="eastAsia"/>
          <w:szCs w:val="24"/>
        </w:rPr>
        <w:t>寬頻網路，隨時透過教育雲行動上網學習，鼓勵教師掌握數位創新教學，透過</w:t>
      </w:r>
      <w:proofErr w:type="gramStart"/>
      <w:r>
        <w:rPr>
          <w:rFonts w:eastAsia="標楷體" w:hint="eastAsia"/>
          <w:szCs w:val="24"/>
        </w:rPr>
        <w:t>磨課師</w:t>
      </w:r>
      <w:proofErr w:type="gramEnd"/>
      <w:r>
        <w:rPr>
          <w:rFonts w:eastAsia="標楷體"/>
          <w:szCs w:val="24"/>
        </w:rPr>
        <w:t>(MOOCs)</w:t>
      </w:r>
      <w:r>
        <w:rPr>
          <w:rFonts w:eastAsia="標楷體" w:hint="eastAsia"/>
          <w:szCs w:val="24"/>
        </w:rPr>
        <w:t>及翻轉教育，落實以學習者為中心，促進公平、開放、自主及適性的學習機會，並落實城鄉數位學習機會均等，對於國內目前的數位教育體制具有深遠的影響。</w:t>
      </w:r>
    </w:p>
    <w:p w:rsidR="00B94056" w:rsidRDefault="00B94056" w:rsidP="00B94056">
      <w:pPr>
        <w:widowControl/>
        <w:adjustRightInd w:val="0"/>
        <w:snapToGrid w:val="0"/>
        <w:spacing w:line="360" w:lineRule="auto"/>
        <w:jc w:val="both"/>
        <w:rPr>
          <w:rFonts w:eastAsia="標楷體"/>
          <w:color w:val="000000"/>
          <w:kern w:val="0"/>
        </w:rPr>
      </w:pPr>
    </w:p>
    <w:p w:rsidR="007751B8" w:rsidRPr="00B94056" w:rsidRDefault="00B94056" w:rsidP="00B94056">
      <w:pPr>
        <w:autoSpaceDE w:val="0"/>
        <w:autoSpaceDN w:val="0"/>
        <w:adjustRightInd w:val="0"/>
        <w:snapToGrid w:val="0"/>
        <w:spacing w:line="360" w:lineRule="auto"/>
        <w:jc w:val="both"/>
        <w:rPr>
          <w:rFonts w:eastAsia="標楷體"/>
          <w:kern w:val="0"/>
          <w:szCs w:val="24"/>
        </w:rPr>
      </w:pPr>
      <w:r>
        <w:rPr>
          <w:rFonts w:eastAsia="標楷體" w:hint="eastAsia"/>
          <w:color w:val="000000"/>
          <w:kern w:val="0"/>
        </w:rPr>
        <w:t>楊教授</w:t>
      </w:r>
      <w:r>
        <w:rPr>
          <w:rFonts w:eastAsia="標楷體" w:hint="eastAsia"/>
          <w:kern w:val="0"/>
          <w:szCs w:val="24"/>
        </w:rPr>
        <w:t>於</w:t>
      </w:r>
      <w:r>
        <w:rPr>
          <w:rFonts w:eastAsia="標楷體"/>
          <w:kern w:val="0"/>
          <w:szCs w:val="24"/>
        </w:rPr>
        <w:t>2014</w:t>
      </w:r>
      <w:r>
        <w:rPr>
          <w:rFonts w:eastAsia="標楷體" w:hint="eastAsia"/>
          <w:kern w:val="0"/>
          <w:szCs w:val="24"/>
        </w:rPr>
        <w:t>年歸建中央大學，並擔任行政院科技會報兼任研究員，於</w:t>
      </w:r>
      <w:r>
        <w:rPr>
          <w:rFonts w:eastAsia="標楷體"/>
          <w:kern w:val="0"/>
          <w:szCs w:val="24"/>
        </w:rPr>
        <w:t>2016</w:t>
      </w:r>
      <w:r>
        <w:rPr>
          <w:rFonts w:eastAsia="標楷體" w:hint="eastAsia"/>
          <w:kern w:val="0"/>
          <w:szCs w:val="24"/>
        </w:rPr>
        <w:t>年起擔任科技部科技政策群組委員，協助審查行政院科技預算以及中央政府科技發展計畫。近五年曾多次擔任中央政府與地方政府以及民間機關之諮詢委員，對於科技政策及政策建議書等具有關鍵影響力。</w:t>
      </w:r>
    </w:p>
    <w:sectPr w:rsidR="007751B8" w:rsidRPr="00B94056" w:rsidSect="001A29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558" w:rsidRDefault="00F00558" w:rsidP="00D674F7">
      <w:r>
        <w:separator/>
      </w:r>
    </w:p>
  </w:endnote>
  <w:endnote w:type="continuationSeparator" w:id="0">
    <w:p w:rsidR="00F00558" w:rsidRDefault="00F00558" w:rsidP="00D6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558" w:rsidRDefault="00F00558" w:rsidP="00D674F7">
      <w:r>
        <w:separator/>
      </w:r>
    </w:p>
  </w:footnote>
  <w:footnote w:type="continuationSeparator" w:id="0">
    <w:p w:rsidR="00F00558" w:rsidRDefault="00F00558" w:rsidP="00D67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17C"/>
    <w:multiLevelType w:val="hybridMultilevel"/>
    <w:tmpl w:val="FCD28A9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54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020" w:hanging="480"/>
      </w:pPr>
    </w:lvl>
    <w:lvl w:ilvl="3" w:tplc="0409000F">
      <w:start w:val="1"/>
      <w:numFmt w:val="decimal"/>
      <w:lvlText w:val="%4."/>
      <w:lvlJc w:val="left"/>
      <w:pPr>
        <w:ind w:left="1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80" w:hanging="480"/>
      </w:pPr>
    </w:lvl>
    <w:lvl w:ilvl="5" w:tplc="0409001B" w:tentative="1">
      <w:start w:val="1"/>
      <w:numFmt w:val="lowerRoman"/>
      <w:lvlText w:val="%6."/>
      <w:lvlJc w:val="right"/>
      <w:pPr>
        <w:ind w:left="2460" w:hanging="480"/>
      </w:pPr>
    </w:lvl>
    <w:lvl w:ilvl="6" w:tplc="0409000F" w:tentative="1">
      <w:start w:val="1"/>
      <w:numFmt w:val="decimal"/>
      <w:lvlText w:val="%7."/>
      <w:lvlJc w:val="left"/>
      <w:pPr>
        <w:ind w:left="2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20" w:hanging="480"/>
      </w:pPr>
    </w:lvl>
    <w:lvl w:ilvl="8" w:tplc="0409001B" w:tentative="1">
      <w:start w:val="1"/>
      <w:numFmt w:val="lowerRoman"/>
      <w:lvlText w:val="%9."/>
      <w:lvlJc w:val="right"/>
      <w:pPr>
        <w:ind w:left="39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7B"/>
    <w:rsid w:val="000B3140"/>
    <w:rsid w:val="001067B6"/>
    <w:rsid w:val="001A29C9"/>
    <w:rsid w:val="001C46CC"/>
    <w:rsid w:val="002378D3"/>
    <w:rsid w:val="002928CF"/>
    <w:rsid w:val="003D4B7E"/>
    <w:rsid w:val="00505037"/>
    <w:rsid w:val="00524639"/>
    <w:rsid w:val="005E4F99"/>
    <w:rsid w:val="006F7B40"/>
    <w:rsid w:val="007751B8"/>
    <w:rsid w:val="007E4A04"/>
    <w:rsid w:val="008464B7"/>
    <w:rsid w:val="00883355"/>
    <w:rsid w:val="00887D1C"/>
    <w:rsid w:val="00890A27"/>
    <w:rsid w:val="008B7405"/>
    <w:rsid w:val="009C36CF"/>
    <w:rsid w:val="00A1567B"/>
    <w:rsid w:val="00A33138"/>
    <w:rsid w:val="00AB4793"/>
    <w:rsid w:val="00AC6DA9"/>
    <w:rsid w:val="00B5375D"/>
    <w:rsid w:val="00B67CB4"/>
    <w:rsid w:val="00B94056"/>
    <w:rsid w:val="00B94630"/>
    <w:rsid w:val="00C20A1B"/>
    <w:rsid w:val="00CC57C8"/>
    <w:rsid w:val="00D674F7"/>
    <w:rsid w:val="00F00558"/>
    <w:rsid w:val="00F46804"/>
    <w:rsid w:val="00FC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4F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4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D674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74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D674F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C6D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C6DA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4F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4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D674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74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D674F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C6D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C6D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Yang</dc:creator>
  <cp:lastModifiedBy>葉錦菁</cp:lastModifiedBy>
  <cp:revision>2</cp:revision>
  <dcterms:created xsi:type="dcterms:W3CDTF">2017-04-06T05:04:00Z</dcterms:created>
  <dcterms:modified xsi:type="dcterms:W3CDTF">2017-04-06T05:04:00Z</dcterms:modified>
</cp:coreProperties>
</file>